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0D" w:rsidRDefault="0052270D" w:rsidP="0052270D">
      <w:pPr>
        <w:spacing w:after="0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4463E0" wp14:editId="03B84CCA">
            <wp:extent cx="2828925" cy="415498"/>
            <wp:effectExtent l="0" t="0" r="0" b="381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52" cy="4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70D" w:rsidRDefault="0052270D" w:rsidP="00C66C9A">
      <w:pPr>
        <w:spacing w:after="0"/>
        <w:jc w:val="center"/>
        <w:rPr>
          <w:b/>
        </w:rPr>
      </w:pPr>
    </w:p>
    <w:p w:rsidR="0052270D" w:rsidRDefault="0052270D" w:rsidP="00C66C9A">
      <w:pPr>
        <w:spacing w:after="0"/>
        <w:jc w:val="center"/>
        <w:rPr>
          <w:b/>
        </w:rPr>
      </w:pPr>
    </w:p>
    <w:p w:rsidR="003634EC" w:rsidRPr="0052270D" w:rsidRDefault="003634EC" w:rsidP="00C66C9A">
      <w:pPr>
        <w:spacing w:after="0"/>
        <w:jc w:val="center"/>
        <w:rPr>
          <w:b/>
          <w:sz w:val="36"/>
          <w:szCs w:val="36"/>
        </w:rPr>
      </w:pPr>
      <w:r w:rsidRPr="0052270D">
        <w:rPr>
          <w:b/>
          <w:sz w:val="36"/>
          <w:szCs w:val="36"/>
        </w:rPr>
        <w:t>Benchmarking in Action</w:t>
      </w:r>
    </w:p>
    <w:p w:rsidR="003634EC" w:rsidRPr="0052270D" w:rsidRDefault="003634EC" w:rsidP="00C66C9A">
      <w:pPr>
        <w:spacing w:after="0"/>
        <w:jc w:val="center"/>
        <w:rPr>
          <w:b/>
          <w:sz w:val="26"/>
          <w:szCs w:val="26"/>
        </w:rPr>
      </w:pPr>
      <w:r w:rsidRPr="0052270D">
        <w:rPr>
          <w:b/>
          <w:sz w:val="26"/>
          <w:szCs w:val="26"/>
        </w:rPr>
        <w:t xml:space="preserve">Elena Gerstmann, </w:t>
      </w:r>
      <w:r w:rsidR="00F76B11" w:rsidRPr="0052270D">
        <w:rPr>
          <w:b/>
          <w:sz w:val="26"/>
          <w:szCs w:val="26"/>
        </w:rPr>
        <w:t xml:space="preserve">Ph.D., </w:t>
      </w:r>
      <w:r w:rsidRPr="0052270D">
        <w:rPr>
          <w:b/>
          <w:sz w:val="26"/>
          <w:szCs w:val="26"/>
        </w:rPr>
        <w:t>CAE, FASAE, Deputy Executive Operations,</w:t>
      </w:r>
    </w:p>
    <w:p w:rsidR="003634EC" w:rsidRPr="0052270D" w:rsidRDefault="003634EC" w:rsidP="00C66C9A">
      <w:pPr>
        <w:spacing w:after="0"/>
        <w:jc w:val="center"/>
        <w:rPr>
          <w:b/>
          <w:sz w:val="26"/>
          <w:szCs w:val="26"/>
        </w:rPr>
      </w:pPr>
      <w:r w:rsidRPr="0052270D">
        <w:rPr>
          <w:b/>
          <w:sz w:val="26"/>
          <w:szCs w:val="26"/>
        </w:rPr>
        <w:t>American Society of Mechanical Engineers</w:t>
      </w:r>
    </w:p>
    <w:p w:rsidR="003634EC" w:rsidRDefault="003634EC"/>
    <w:p w:rsidR="00CE1F5C" w:rsidRDefault="0095497A">
      <w:r>
        <w:t xml:space="preserve">Are there ways you could be using benchmarking data that you aren’t tapping into yet? </w:t>
      </w:r>
      <w:r w:rsidR="00A93A5A">
        <w:t xml:space="preserve">ASAE’s benchmarking resources are provided </w:t>
      </w:r>
      <w:r>
        <w:t>to help</w:t>
      </w:r>
      <w:r w:rsidR="00A93A5A">
        <w:t xml:space="preserve"> association profe</w:t>
      </w:r>
      <w:r w:rsidR="001A5E29">
        <w:t>ssionals do their job</w:t>
      </w:r>
      <w:r>
        <w:t>s</w:t>
      </w:r>
      <w:r w:rsidR="001A5E29">
        <w:t xml:space="preserve"> better. Our members use ASAE’s benchmarking resources—</w:t>
      </w:r>
      <w:proofErr w:type="spellStart"/>
      <w:r w:rsidR="001A5E29">
        <w:t>AssociaMetrics</w:t>
      </w:r>
      <w:proofErr w:type="spellEnd"/>
      <w:r w:rsidR="001A5E29">
        <w:t xml:space="preserve">, </w:t>
      </w:r>
      <w:r>
        <w:t xml:space="preserve">the </w:t>
      </w:r>
      <w:r w:rsidR="001A5E29" w:rsidRPr="00C66C9A">
        <w:rPr>
          <w:i/>
        </w:rPr>
        <w:t>Operating Ratio Report</w:t>
      </w:r>
      <w:r w:rsidR="001A5E29">
        <w:t xml:space="preserve">, </w:t>
      </w:r>
      <w:r>
        <w:t xml:space="preserve">and information from </w:t>
      </w:r>
      <w:r w:rsidR="001A5E29">
        <w:t>the</w:t>
      </w:r>
      <w:r>
        <w:t xml:space="preserve"> </w:t>
      </w:r>
      <w:r w:rsidR="001A5E29" w:rsidRPr="00C66C9A">
        <w:rPr>
          <w:i/>
        </w:rPr>
        <w:t xml:space="preserve">Association Compensation and Benefits </w:t>
      </w:r>
      <w:r w:rsidR="001A5E29" w:rsidRPr="00B168BC">
        <w:rPr>
          <w:i/>
        </w:rPr>
        <w:t>Stu</w:t>
      </w:r>
      <w:r w:rsidR="00B168BC" w:rsidRPr="00B168BC">
        <w:rPr>
          <w:i/>
        </w:rPr>
        <w:t>dy</w:t>
      </w:r>
      <w:r w:rsidR="00B168BC">
        <w:t>.</w:t>
      </w:r>
      <w:r w:rsidR="00397485">
        <w:t xml:space="preserve"> </w:t>
      </w:r>
      <w:r>
        <w:t xml:space="preserve">Some—like </w:t>
      </w:r>
      <w:r w:rsidR="00CE1F5C">
        <w:t xml:space="preserve">Elena Gerstmann, </w:t>
      </w:r>
      <w:r w:rsidR="009C6BB4">
        <w:t xml:space="preserve">Ph.D., </w:t>
      </w:r>
      <w:r w:rsidR="001A5E29">
        <w:t xml:space="preserve">CAE, </w:t>
      </w:r>
      <w:proofErr w:type="gramStart"/>
      <w:r w:rsidR="001A5E29">
        <w:t>FASAE</w:t>
      </w:r>
      <w:proofErr w:type="gramEnd"/>
      <w:r w:rsidR="00397485">
        <w:t>—</w:t>
      </w:r>
      <w:r>
        <w:t xml:space="preserve">have been using benchmarking resources throughout </w:t>
      </w:r>
      <w:r w:rsidR="00397485">
        <w:t>their</w:t>
      </w:r>
      <w:r>
        <w:t xml:space="preserve"> career</w:t>
      </w:r>
      <w:r w:rsidR="00397485">
        <w:t>s</w:t>
      </w:r>
      <w:r>
        <w:t xml:space="preserve">. Here Gerstmann, </w:t>
      </w:r>
      <w:r w:rsidR="00D743F5">
        <w:t>d</w:t>
      </w:r>
      <w:r w:rsidR="001A5E29">
        <w:t xml:space="preserve">eputy </w:t>
      </w:r>
      <w:r w:rsidR="00D743F5">
        <w:t>e</w:t>
      </w:r>
      <w:r w:rsidR="001A5E29">
        <w:t xml:space="preserve">xecutive </w:t>
      </w:r>
      <w:r w:rsidR="00D743F5">
        <w:t>o</w:t>
      </w:r>
      <w:r w:rsidR="001A5E29">
        <w:t>perations of the American Society of Mechanical Engineers</w:t>
      </w:r>
      <w:r w:rsidR="002C1D02">
        <w:t xml:space="preserve">, </w:t>
      </w:r>
      <w:r>
        <w:t>shares four primary way she uses benchmarking to make her organization better.</w:t>
      </w:r>
    </w:p>
    <w:p w:rsidR="0035235D" w:rsidRPr="00B73DB7" w:rsidRDefault="00B73DB7">
      <w:pPr>
        <w:rPr>
          <w:b/>
        </w:rPr>
      </w:pPr>
      <w:r>
        <w:rPr>
          <w:b/>
        </w:rPr>
        <w:t>Get new execs on the fast track</w:t>
      </w:r>
    </w:p>
    <w:p w:rsidR="00CE1F5C" w:rsidRDefault="00CE1F5C">
      <w:r>
        <w:t xml:space="preserve">Many leaders come into prominent positions in the association field with impressive resumes, a proven track record, </w:t>
      </w:r>
      <w:r w:rsidR="002C1D02">
        <w:t xml:space="preserve">and </w:t>
      </w:r>
      <w:r>
        <w:t>a wealth of experience—often in an area other than associations. A new executive coming from the industry the association represents or anot</w:t>
      </w:r>
      <w:r w:rsidR="002C1D02">
        <w:t>her field may have a significant</w:t>
      </w:r>
      <w:r>
        <w:t xml:space="preserve"> learning curve when it comes to the specifics of association finance, operations, and practices. And when you come in at the top, there’s very </w:t>
      </w:r>
      <w:r w:rsidR="002C1D02">
        <w:t>little leeway to learn on the job</w:t>
      </w:r>
      <w:r w:rsidR="0035235D">
        <w:t xml:space="preserve">. </w:t>
      </w:r>
      <w:proofErr w:type="spellStart"/>
      <w:r w:rsidR="0035235D">
        <w:t>Gerstmann’s</w:t>
      </w:r>
      <w:proofErr w:type="spellEnd"/>
      <w:r w:rsidR="0035235D">
        <w:t xml:space="preserve"> experience has shown that</w:t>
      </w:r>
      <w:r>
        <w:t xml:space="preserve"> </w:t>
      </w:r>
      <w:r w:rsidR="0035235D">
        <w:t>benchmarking resources are a valuable tool to help people get up to speed in the industry</w:t>
      </w:r>
      <w:r>
        <w:t xml:space="preserve">. </w:t>
      </w:r>
    </w:p>
    <w:p w:rsidR="00A93A5A" w:rsidRDefault="00CE1F5C">
      <w:r>
        <w:tab/>
        <w:t xml:space="preserve">“We have some new </w:t>
      </w:r>
      <w:r w:rsidR="009C6BB4">
        <w:t xml:space="preserve">executives </w:t>
      </w:r>
      <w:r>
        <w:t xml:space="preserve">coming in from the industry, who weren’t familiar with </w:t>
      </w:r>
      <w:r>
        <w:tab/>
        <w:t xml:space="preserve">associations, </w:t>
      </w:r>
      <w:r w:rsidR="009C6BB4">
        <w:t xml:space="preserve">I’ve shared benchmarking information including information from </w:t>
      </w:r>
      <w:proofErr w:type="spellStart"/>
      <w:r>
        <w:t>AssociaMetrics</w:t>
      </w:r>
      <w:proofErr w:type="spellEnd"/>
      <w:r>
        <w:t xml:space="preserve"> </w:t>
      </w:r>
      <w:r w:rsidR="00AE0249">
        <w:tab/>
      </w:r>
      <w:r>
        <w:t>so they could get a feel for it.”</w:t>
      </w:r>
      <w:r w:rsidR="00A93A5A">
        <w:t xml:space="preserve"> </w:t>
      </w:r>
    </w:p>
    <w:p w:rsidR="0056185F" w:rsidRPr="00B73DB7" w:rsidRDefault="00B73DB7">
      <w:pPr>
        <w:rPr>
          <w:b/>
        </w:rPr>
      </w:pPr>
      <w:r w:rsidRPr="00B73DB7">
        <w:rPr>
          <w:b/>
        </w:rPr>
        <w:t>Show why you need staff</w:t>
      </w:r>
    </w:p>
    <w:p w:rsidR="005771A3" w:rsidRDefault="00D743F5">
      <w:r>
        <w:t>L</w:t>
      </w:r>
      <w:r w:rsidR="0056185F">
        <w:t xml:space="preserve">eaders </w:t>
      </w:r>
      <w:r>
        <w:t xml:space="preserve">also </w:t>
      </w:r>
      <w:r w:rsidR="0056185F">
        <w:t>find benchmar</w:t>
      </w:r>
      <w:r w:rsidR="00B73DB7">
        <w:t xml:space="preserve">king resources invaluable when they need to justify </w:t>
      </w:r>
      <w:r w:rsidR="0056185F">
        <w:t>staf</w:t>
      </w:r>
      <w:r w:rsidR="00B73DB7">
        <w:t xml:space="preserve">fing changes. Boards and executives alike want their associations to be </w:t>
      </w:r>
      <w:r w:rsidR="0052270D">
        <w:t>staffed</w:t>
      </w:r>
      <w:r w:rsidR="00B73DB7">
        <w:t xml:space="preserve"> fully and all of their</w:t>
      </w:r>
      <w:r w:rsidR="0056185F">
        <w:t xml:space="preserve"> </w:t>
      </w:r>
      <w:r w:rsidR="00B73DB7">
        <w:t xml:space="preserve">departments operating at </w:t>
      </w:r>
      <w:r w:rsidR="006A5EFB">
        <w:t>peak efficiency</w:t>
      </w:r>
      <w:r w:rsidR="00B73DB7">
        <w:t xml:space="preserve">. But every organization, no matter the size </w:t>
      </w:r>
      <w:r w:rsidR="00EA5309">
        <w:t>o</w:t>
      </w:r>
      <w:r w:rsidR="00B73DB7">
        <w:t xml:space="preserve">f its operating budget, has to juggle allocations delicately. Expanding a team is rarely as simple as a single inquiry. </w:t>
      </w:r>
      <w:r w:rsidR="0056185F">
        <w:t xml:space="preserve"> A thorough justification ground</w:t>
      </w:r>
      <w:r w:rsidR="00B73DB7">
        <w:t xml:space="preserve">ed </w:t>
      </w:r>
      <w:r w:rsidR="00EA5309">
        <w:t xml:space="preserve">in data gives decision-makers a basis of comparison that makes </w:t>
      </w:r>
      <w:proofErr w:type="gramStart"/>
      <w:r w:rsidR="00EA5309">
        <w:t>the ask</w:t>
      </w:r>
      <w:proofErr w:type="gramEnd"/>
      <w:r w:rsidR="00EA5309">
        <w:t xml:space="preserve"> more concrete</w:t>
      </w:r>
      <w:r w:rsidR="00DE13E9">
        <w:t xml:space="preserve"> and more likely to be approved</w:t>
      </w:r>
      <w:r w:rsidR="0056185F">
        <w:t xml:space="preserve">. </w:t>
      </w:r>
      <w:r w:rsidR="005771A3">
        <w:t>Gerstmann</w:t>
      </w:r>
      <w:r w:rsidR="00EA5309">
        <w:t xml:space="preserve"> has drawn </w:t>
      </w:r>
      <w:r w:rsidR="005771A3">
        <w:t xml:space="preserve">on benchmarking data frequently in her work </w:t>
      </w:r>
      <w:r w:rsidR="00EA5309">
        <w:t xml:space="preserve">to make her case for staffing needs. </w:t>
      </w:r>
    </w:p>
    <w:p w:rsidR="006A5EFB" w:rsidRDefault="00EA5309" w:rsidP="006A5EFB">
      <w:pPr>
        <w:spacing w:after="0"/>
      </w:pPr>
      <w:r>
        <w:lastRenderedPageBreak/>
        <w:tab/>
        <w:t>“O</w:t>
      </w:r>
      <w:r w:rsidR="005771A3">
        <w:t xml:space="preserve">nce a year I </w:t>
      </w:r>
      <w:r w:rsidR="009C6BB4">
        <w:t xml:space="preserve">routinely </w:t>
      </w:r>
      <w:r w:rsidR="005771A3">
        <w:t xml:space="preserve">pull out </w:t>
      </w:r>
      <w:r>
        <w:t xml:space="preserve">the </w:t>
      </w:r>
      <w:r w:rsidRPr="00C66C9A">
        <w:rPr>
          <w:i/>
        </w:rPr>
        <w:t>Policies and Procedures</w:t>
      </w:r>
      <w:r w:rsidR="003E79B5">
        <w:rPr>
          <w:i/>
        </w:rPr>
        <w:t xml:space="preserve"> </w:t>
      </w:r>
      <w:r w:rsidR="003E79B5">
        <w:t>[</w:t>
      </w:r>
      <w:r w:rsidR="003E79B5">
        <w:rPr>
          <w:i/>
        </w:rPr>
        <w:t xml:space="preserve">Benchmarking in Association </w:t>
      </w:r>
      <w:r w:rsidR="00AE0249">
        <w:rPr>
          <w:i/>
        </w:rPr>
        <w:tab/>
      </w:r>
      <w:r w:rsidR="003E79B5">
        <w:rPr>
          <w:i/>
        </w:rPr>
        <w:t>Management: Policies and Procedures</w:t>
      </w:r>
      <w:r w:rsidR="003E79B5">
        <w:rPr>
          <w:sz w:val="24"/>
        </w:rPr>
        <w:t>]</w:t>
      </w:r>
      <w:r>
        <w:t xml:space="preserve">, and with that I could </w:t>
      </w:r>
      <w:r w:rsidR="005771A3">
        <w:t>sa</w:t>
      </w:r>
      <w:r>
        <w:t>y something</w:t>
      </w:r>
      <w:r w:rsidR="003E79B5">
        <w:t xml:space="preserve"> </w:t>
      </w:r>
      <w:r>
        <w:t>like, look</w:t>
      </w:r>
      <w:r w:rsidR="003E79B5">
        <w:t>—</w:t>
      </w:r>
      <w:r>
        <w:t xml:space="preserve">we have </w:t>
      </w:r>
      <w:r w:rsidR="00AE0249">
        <w:tab/>
        <w:t>two</w:t>
      </w:r>
      <w:r>
        <w:t xml:space="preserve"> people </w:t>
      </w:r>
      <w:r w:rsidR="005771A3">
        <w:t>dedicated to market research and all these organizations smaller</w:t>
      </w:r>
      <w:r>
        <w:t xml:space="preserve"> than us have </w:t>
      </w:r>
      <w:r w:rsidR="00AE0249">
        <w:t>four</w:t>
      </w:r>
      <w:r>
        <w:t xml:space="preserve"> </w:t>
      </w:r>
      <w:r w:rsidR="00AE0249">
        <w:tab/>
      </w:r>
      <w:r>
        <w:t xml:space="preserve">people, so </w:t>
      </w:r>
      <w:r w:rsidR="009C6BB4">
        <w:t>we are very lean and I need another headcount</w:t>
      </w:r>
      <w:r w:rsidR="005771A3">
        <w:t>.”</w:t>
      </w:r>
    </w:p>
    <w:p w:rsidR="006A5EFB" w:rsidRDefault="006A5EFB" w:rsidP="006A5EFB">
      <w:pPr>
        <w:spacing w:after="0"/>
      </w:pPr>
    </w:p>
    <w:p w:rsidR="006A5EFB" w:rsidRDefault="006A5EFB" w:rsidP="006A5EFB">
      <w:pPr>
        <w:spacing w:after="0"/>
      </w:pPr>
      <w:r>
        <w:t>To justify adding staff, association executives typically have to build a str</w:t>
      </w:r>
      <w:r w:rsidR="003E79B5">
        <w:t>o</w:t>
      </w:r>
      <w:r>
        <w:t xml:space="preserve">ng case. Industry benchmarks can add credibility to the results of financial cost-benefit analyses, detailed breakdowns of time spent on specific projects, and other data.  </w:t>
      </w:r>
      <w:r>
        <w:br/>
      </w:r>
    </w:p>
    <w:p w:rsidR="00B8430B" w:rsidRPr="00B8430B" w:rsidRDefault="00B8430B">
      <w:pPr>
        <w:rPr>
          <w:b/>
        </w:rPr>
      </w:pPr>
      <w:r w:rsidRPr="00B8430B">
        <w:rPr>
          <w:b/>
        </w:rPr>
        <w:t>Examine old habits</w:t>
      </w:r>
    </w:p>
    <w:p w:rsidR="00BD5CE1" w:rsidRDefault="00EA5309" w:rsidP="00BD5CE1">
      <w:r>
        <w:t>Many organizat</w:t>
      </w:r>
      <w:r w:rsidR="00B8430B">
        <w:t>ions continue to make decisions without examining</w:t>
      </w:r>
      <w:r>
        <w:t xml:space="preserve"> </w:t>
      </w:r>
      <w:r w:rsidR="00B8430B">
        <w:t xml:space="preserve">well-worn practices. </w:t>
      </w:r>
      <w:r w:rsidR="003E79B5">
        <w:t xml:space="preserve">It’s easy to get complacent, and say, </w:t>
      </w:r>
      <w:r w:rsidR="00B8430B">
        <w:t xml:space="preserve"> ‘we’ve been fine doing it this way all these years</w:t>
      </w:r>
      <w:r w:rsidR="00D743F5">
        <w:t>—</w:t>
      </w:r>
      <w:r w:rsidR="00B8430B">
        <w:t>why change now,’</w:t>
      </w:r>
      <w:r w:rsidR="003E79B5">
        <w:t xml:space="preserve"> but this can limit</w:t>
      </w:r>
      <w:r w:rsidR="00B8430B">
        <w:t xml:space="preserve"> associations </w:t>
      </w:r>
      <w:r w:rsidR="003E79B5">
        <w:t xml:space="preserve">from </w:t>
      </w:r>
      <w:r w:rsidR="00B8430B">
        <w:t>function</w:t>
      </w:r>
      <w:r w:rsidR="003E79B5">
        <w:t>ing</w:t>
      </w:r>
      <w:r w:rsidR="00B8430B">
        <w:t xml:space="preserve"> at their highest level. As </w:t>
      </w:r>
      <w:r w:rsidR="00B168BC">
        <w:t>author Jim Collins wrote ““</w:t>
      </w:r>
      <w:r w:rsidR="00B8430B">
        <w:t>good is the enemy of great.</w:t>
      </w:r>
      <w:r w:rsidR="00B168BC">
        <w:t>”</w:t>
      </w:r>
      <w:r w:rsidR="00B8430B">
        <w:t xml:space="preserve"> </w:t>
      </w:r>
      <w:r w:rsidR="00BD5CE1">
        <w:t>Benchmarking data can help organizations understand the difference between what they’ve always done and</w:t>
      </w:r>
      <w:r w:rsidR="00B8430B">
        <w:t xml:space="preserve"> what they could be doing differently</w:t>
      </w:r>
      <w:r w:rsidR="00BD5CE1">
        <w:t>. Data can prove your reasons for doing something a certain way, or challenge you to look at a different decision. As Gerstmann offers,</w:t>
      </w:r>
    </w:p>
    <w:p w:rsidR="005771A3" w:rsidRDefault="00BD5CE1">
      <w:r>
        <w:tab/>
        <w:t xml:space="preserve">“We all use the term </w:t>
      </w:r>
      <w:r w:rsidRPr="006C6E82">
        <w:rPr>
          <w:i/>
        </w:rPr>
        <w:t>best practices,</w:t>
      </w:r>
      <w:r>
        <w:t xml:space="preserve"> but we don’t know if they’re just </w:t>
      </w:r>
      <w:r w:rsidRPr="00AE0249">
        <w:rPr>
          <w:i/>
        </w:rPr>
        <w:t>common</w:t>
      </w:r>
      <w:r>
        <w:t xml:space="preserve"> practices</w:t>
      </w:r>
      <w:r w:rsidR="009C6BB4">
        <w:t xml:space="preserve"> or if </w:t>
      </w:r>
      <w:r w:rsidR="00AE0249">
        <w:tab/>
      </w:r>
      <w:r w:rsidR="009C6BB4">
        <w:t xml:space="preserve">they truly are </w:t>
      </w:r>
      <w:r w:rsidR="009C6BB4" w:rsidRPr="00AE0249">
        <w:rPr>
          <w:i/>
        </w:rPr>
        <w:t>best</w:t>
      </w:r>
      <w:r w:rsidR="009C6BB4">
        <w:t xml:space="preserve"> practices</w:t>
      </w:r>
      <w:r>
        <w:t xml:space="preserve">.” </w:t>
      </w:r>
    </w:p>
    <w:p w:rsidR="005771A3" w:rsidRDefault="005D7045">
      <w:r>
        <w:t xml:space="preserve">An example Gerstmann used of this was </w:t>
      </w:r>
      <w:r w:rsidR="009C6BB4">
        <w:t>fo</w:t>
      </w:r>
      <w:r w:rsidR="00AE0249">
        <w:t>u</w:t>
      </w:r>
      <w:r w:rsidR="009C6BB4">
        <w:t xml:space="preserve">r years ago </w:t>
      </w:r>
      <w:r>
        <w:t xml:space="preserve">when she started looking into what other associations were </w:t>
      </w:r>
      <w:r w:rsidR="00AE0249">
        <w:t>do</w:t>
      </w:r>
      <w:r>
        <w:t>ing when it came to reserves. What she found was that the common practice wasn’t the only way to go about it. As she puts it:</w:t>
      </w:r>
      <w:r w:rsidR="005771A3">
        <w:t xml:space="preserve"> </w:t>
      </w:r>
    </w:p>
    <w:p w:rsidR="005771A3" w:rsidRDefault="005771A3">
      <w:r>
        <w:tab/>
        <w:t>“Everybody says 50</w:t>
      </w:r>
      <w:r w:rsidR="00004802">
        <w:t xml:space="preserve"> percent</w:t>
      </w:r>
      <w:r w:rsidR="00D743F5">
        <w:t>,</w:t>
      </w:r>
      <w:r w:rsidR="00004802">
        <w:t xml:space="preserve"> </w:t>
      </w:r>
      <w:r>
        <w:t xml:space="preserve">but we wanted to examine that. We hired a </w:t>
      </w:r>
      <w:r w:rsidR="009C6BB4">
        <w:t xml:space="preserve">financial </w:t>
      </w:r>
      <w:r w:rsidR="00AE0249">
        <w:tab/>
      </w:r>
      <w:r w:rsidR="009C6BB4">
        <w:t xml:space="preserve">consultant </w:t>
      </w:r>
      <w:r>
        <w:t xml:space="preserve">and looked into it, and it turns out that that 50 percent number is kind of </w:t>
      </w:r>
      <w:r w:rsidR="00AE0249">
        <w:tab/>
      </w:r>
      <w:r>
        <w:t xml:space="preserve">arbitrary. It really depends on what your </w:t>
      </w:r>
      <w:r w:rsidR="009C6BB4">
        <w:t xml:space="preserve">association’s particular </w:t>
      </w:r>
      <w:r>
        <w:t xml:space="preserve">risk is. Think of it like this – </w:t>
      </w:r>
      <w:r w:rsidR="00AE0249">
        <w:tab/>
      </w:r>
      <w:r>
        <w:t>if one person has a brand new house and another person has a 100</w:t>
      </w:r>
      <w:r w:rsidR="00D743F5">
        <w:t>-</w:t>
      </w:r>
      <w:r>
        <w:t>year</w:t>
      </w:r>
      <w:r w:rsidR="00D743F5">
        <w:t>-</w:t>
      </w:r>
      <w:r>
        <w:t xml:space="preserve">old house, should </w:t>
      </w:r>
      <w:r w:rsidR="00916890">
        <w:tab/>
      </w:r>
      <w:r>
        <w:t>both of them have the same amount in the hopper for repairs?”</w:t>
      </w:r>
    </w:p>
    <w:p w:rsidR="00383DE0" w:rsidRDefault="00383DE0">
      <w:r>
        <w:t xml:space="preserve">Benchmarking isn’t simply about lining up your numbers with those of your cohort. Looking for where you differ from similar organizations can be a starting point for inquiry. Does your organization need to change, or does it do things differently for a reason? This method of inquiry and evaluation can illuminate where changes are required, and affirm when the practices you have in place continue to be a good fit. </w:t>
      </w:r>
    </w:p>
    <w:p w:rsidR="009456D7" w:rsidRPr="009456D7" w:rsidRDefault="009456D7">
      <w:pPr>
        <w:rPr>
          <w:b/>
        </w:rPr>
      </w:pPr>
      <w:r w:rsidRPr="009456D7">
        <w:rPr>
          <w:b/>
        </w:rPr>
        <w:t>Use multiple sources</w:t>
      </w:r>
    </w:p>
    <w:p w:rsidR="005771A3" w:rsidRDefault="005D7045">
      <w:r>
        <w:t xml:space="preserve">As ASAE recommends, Gerstmann consults a variety of industry resources in addition to the </w:t>
      </w:r>
      <w:proofErr w:type="spellStart"/>
      <w:r>
        <w:t>AssociaMetrics</w:t>
      </w:r>
      <w:proofErr w:type="spellEnd"/>
      <w:r>
        <w:t xml:space="preserve"> platform. She regular</w:t>
      </w:r>
      <w:r w:rsidR="00D743F5">
        <w:t>ly</w:t>
      </w:r>
      <w:r>
        <w:t xml:space="preserve"> consults </w:t>
      </w:r>
      <w:r w:rsidR="009C6BB4">
        <w:t>IRS F</w:t>
      </w:r>
      <w:r>
        <w:t>orm 990 data, exchanges information with comparable organizations, and consults other industry benchmarking resources. By using this</w:t>
      </w:r>
      <w:r w:rsidR="0052270D">
        <w:t xml:space="preserve"> multiple</w:t>
      </w:r>
      <w:r w:rsidR="00D743F5">
        <w:t>-</w:t>
      </w:r>
      <w:r w:rsidR="0052270D">
        <w:t>source</w:t>
      </w:r>
      <w:r>
        <w:t xml:space="preserve"> approach, Gerstmann is able to practice informed, data-driven decision making. She looks to benchmarking resources to see what her counterparts in the association world are doing</w:t>
      </w:r>
      <w:r w:rsidR="006A5EFB">
        <w:t>.</w:t>
      </w:r>
      <w:r>
        <w:t xml:space="preserve"> </w:t>
      </w:r>
    </w:p>
    <w:p w:rsidR="005771A3" w:rsidRDefault="00BD5CE1" w:rsidP="00C66C9A">
      <w:pPr>
        <w:ind w:left="720"/>
      </w:pPr>
      <w:r>
        <w:t>“</w:t>
      </w:r>
      <w:r w:rsidR="005D7045">
        <w:t>I want to see things like</w:t>
      </w:r>
      <w:r w:rsidR="00DE13E9">
        <w:t>—</w:t>
      </w:r>
      <w:r w:rsidR="00C66C9A">
        <w:t>h</w:t>
      </w:r>
      <w:r w:rsidR="009B015A">
        <w:t xml:space="preserve">ow </w:t>
      </w:r>
      <w:r w:rsidR="005771A3">
        <w:t>are they describing their activities</w:t>
      </w:r>
      <w:r w:rsidR="009B015A">
        <w:t xml:space="preserve">? Where </w:t>
      </w:r>
      <w:r w:rsidR="005771A3">
        <w:t>is their revenue coming from</w:t>
      </w:r>
      <w:r w:rsidR="009B015A">
        <w:t xml:space="preserve">? </w:t>
      </w:r>
      <w:r w:rsidR="005771A3">
        <w:t xml:space="preserve">I consult </w:t>
      </w:r>
      <w:r w:rsidR="003E79B5">
        <w:t xml:space="preserve">different data sources </w:t>
      </w:r>
      <w:r w:rsidR="005771A3">
        <w:t>depending on what I’m working on.</w:t>
      </w:r>
      <w:r>
        <w:t>”</w:t>
      </w:r>
      <w:r w:rsidR="005771A3">
        <w:t xml:space="preserve"> </w:t>
      </w:r>
    </w:p>
    <w:p w:rsidR="009456D7" w:rsidRDefault="009456D7">
      <w:r>
        <w:lastRenderedPageBreak/>
        <w:t>Like many association executives, Elena Gerstmann has found benchmarking resources to be invaluable to making informed decisions to drive her association forward. She uses them as a teaching tool, a point of comparison, and a way to frame questions about common practices.</w:t>
      </w:r>
    </w:p>
    <w:p w:rsidR="00BD5CE1" w:rsidRPr="0052270D" w:rsidRDefault="005D7045">
      <w:pPr>
        <w:rPr>
          <w:i/>
        </w:rPr>
      </w:pPr>
      <w:r w:rsidRPr="0052270D">
        <w:rPr>
          <w:i/>
        </w:rPr>
        <w:t xml:space="preserve">Are you a benchmarking champion? Would </w:t>
      </w:r>
      <w:r w:rsidR="0095497A">
        <w:rPr>
          <w:i/>
        </w:rPr>
        <w:t xml:space="preserve">you </w:t>
      </w:r>
      <w:r w:rsidRPr="0052270D">
        <w:rPr>
          <w:i/>
        </w:rPr>
        <w:t>like to share how</w:t>
      </w:r>
      <w:r w:rsidR="00D331CE" w:rsidRPr="0052270D">
        <w:rPr>
          <w:i/>
        </w:rPr>
        <w:t xml:space="preserve"> you</w:t>
      </w:r>
      <w:r w:rsidR="00DE13E9" w:rsidRPr="0052270D">
        <w:rPr>
          <w:i/>
        </w:rPr>
        <w:t xml:space="preserve"> have used</w:t>
      </w:r>
      <w:r w:rsidR="00D331CE" w:rsidRPr="0052270D">
        <w:rPr>
          <w:i/>
        </w:rPr>
        <w:t xml:space="preserve"> </w:t>
      </w:r>
      <w:r w:rsidRPr="0052270D">
        <w:rPr>
          <w:i/>
        </w:rPr>
        <w:t xml:space="preserve">data-driven decision making </w:t>
      </w:r>
      <w:r w:rsidR="00D331CE" w:rsidRPr="0052270D">
        <w:rPr>
          <w:i/>
        </w:rPr>
        <w:t xml:space="preserve">to improve your association’s performance? We’d love to </w:t>
      </w:r>
      <w:r w:rsidR="00B168BC">
        <w:rPr>
          <w:i/>
        </w:rPr>
        <w:t xml:space="preserve">hear from you! </w:t>
      </w:r>
      <w:r w:rsidR="00D331CE" w:rsidRPr="0052270D">
        <w:rPr>
          <w:i/>
        </w:rPr>
        <w:t xml:space="preserve"> </w:t>
      </w:r>
      <w:r w:rsidR="00D331CE" w:rsidRPr="00B007AF">
        <w:t>Contact Emily Rabbitt</w:t>
      </w:r>
      <w:r w:rsidR="00D331CE" w:rsidRPr="0052270D">
        <w:rPr>
          <w:i/>
        </w:rPr>
        <w:t xml:space="preserve">, </w:t>
      </w:r>
      <w:hyperlink r:id="rId5" w:history="1">
        <w:r w:rsidR="006A5EFB" w:rsidRPr="0052270D">
          <w:rPr>
            <w:rStyle w:val="Hyperlink"/>
          </w:rPr>
          <w:t>erabbitt@asaecenter.org</w:t>
        </w:r>
      </w:hyperlink>
      <w:r w:rsidR="00D331CE" w:rsidRPr="0052270D">
        <w:rPr>
          <w:i/>
        </w:rPr>
        <w:t>,</w:t>
      </w:r>
      <w:r w:rsidR="00B168BC">
        <w:rPr>
          <w:i/>
        </w:rPr>
        <w:t xml:space="preserve"> </w:t>
      </w:r>
      <w:r w:rsidR="00B168BC">
        <w:t>associate editor, research content and knowledge resources.</w:t>
      </w:r>
      <w:r w:rsidR="00D331CE" w:rsidRPr="0052270D">
        <w:rPr>
          <w:i/>
        </w:rPr>
        <w:t xml:space="preserve"> . </w:t>
      </w:r>
    </w:p>
    <w:p w:rsidR="00BD5CE1" w:rsidRDefault="00BD5CE1"/>
    <w:sectPr w:rsidR="00BD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81"/>
    <w:rsid w:val="00004802"/>
    <w:rsid w:val="00034C3E"/>
    <w:rsid w:val="000B5B03"/>
    <w:rsid w:val="001A5E29"/>
    <w:rsid w:val="002C1D02"/>
    <w:rsid w:val="0035235D"/>
    <w:rsid w:val="003634EC"/>
    <w:rsid w:val="00383DE0"/>
    <w:rsid w:val="00397485"/>
    <w:rsid w:val="003E79B5"/>
    <w:rsid w:val="00453895"/>
    <w:rsid w:val="0052270D"/>
    <w:rsid w:val="0056185F"/>
    <w:rsid w:val="005771A3"/>
    <w:rsid w:val="005D7045"/>
    <w:rsid w:val="006A5EFB"/>
    <w:rsid w:val="006C5458"/>
    <w:rsid w:val="006C6E82"/>
    <w:rsid w:val="008C3ED8"/>
    <w:rsid w:val="008C6829"/>
    <w:rsid w:val="00916890"/>
    <w:rsid w:val="009231C8"/>
    <w:rsid w:val="009456D7"/>
    <w:rsid w:val="0095497A"/>
    <w:rsid w:val="009B015A"/>
    <w:rsid w:val="009B6DF8"/>
    <w:rsid w:val="009C6BB4"/>
    <w:rsid w:val="00A93A5A"/>
    <w:rsid w:val="00AB3CA3"/>
    <w:rsid w:val="00AE0249"/>
    <w:rsid w:val="00B007AF"/>
    <w:rsid w:val="00B163A4"/>
    <w:rsid w:val="00B168BC"/>
    <w:rsid w:val="00B73DB7"/>
    <w:rsid w:val="00B8430B"/>
    <w:rsid w:val="00BD5CE1"/>
    <w:rsid w:val="00C66C9A"/>
    <w:rsid w:val="00C85311"/>
    <w:rsid w:val="00C974BB"/>
    <w:rsid w:val="00CE1F5C"/>
    <w:rsid w:val="00D331CE"/>
    <w:rsid w:val="00D743F5"/>
    <w:rsid w:val="00D93F81"/>
    <w:rsid w:val="00DE0C48"/>
    <w:rsid w:val="00DE13E9"/>
    <w:rsid w:val="00EA5309"/>
    <w:rsid w:val="00F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753D9-9B4F-4E3A-AAB0-7A24A6FA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1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8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bbitt@asaecente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Rabbitt</dc:creator>
  <cp:keywords/>
  <dc:description/>
  <cp:lastModifiedBy>Baron Williams, CAE</cp:lastModifiedBy>
  <cp:revision>2</cp:revision>
  <dcterms:created xsi:type="dcterms:W3CDTF">2017-02-15T15:38:00Z</dcterms:created>
  <dcterms:modified xsi:type="dcterms:W3CDTF">2017-02-15T15:38:00Z</dcterms:modified>
</cp:coreProperties>
</file>